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BD" w:rsidRDefault="00215FF4" w:rsidP="00215FF4">
      <w:pPr>
        <w:jc w:val="right"/>
        <w:rPr>
          <w:rFonts w:ascii="文星简小标宋" w:eastAsia="文星简小标宋"/>
          <w:sz w:val="30"/>
        </w:rPr>
      </w:pPr>
      <w:r>
        <w:rPr>
          <w:rFonts w:ascii="黑体" w:eastAsia="黑体" w:hint="eastAsia"/>
          <w:sz w:val="32"/>
          <w:szCs w:val="32"/>
        </w:rPr>
        <w:t>Z</w:t>
      </w:r>
      <w:r w:rsidRPr="00D35429">
        <w:rPr>
          <w:rFonts w:ascii="黑体" w:eastAsia="黑体" w:hint="eastAsia"/>
          <w:sz w:val="32"/>
          <w:szCs w:val="32"/>
        </w:rPr>
        <w:t>JFC</w:t>
      </w:r>
      <w:r>
        <w:rPr>
          <w:rFonts w:ascii="黑体" w:eastAsia="黑体" w:hint="eastAsia"/>
          <w:sz w:val="32"/>
          <w:szCs w:val="32"/>
        </w:rPr>
        <w:t>1</w:t>
      </w:r>
      <w:r>
        <w:rPr>
          <w:rFonts w:ascii="黑体" w:eastAsia="黑体"/>
          <w:sz w:val="32"/>
          <w:szCs w:val="32"/>
        </w:rPr>
        <w:t>8</w:t>
      </w:r>
      <w:r w:rsidRPr="00D35429">
        <w:rPr>
          <w:rFonts w:ascii="黑体" w:eastAsia="黑体" w:hint="eastAsia"/>
          <w:sz w:val="32"/>
          <w:szCs w:val="32"/>
        </w:rPr>
        <w:t>-201</w:t>
      </w:r>
      <w:r>
        <w:rPr>
          <w:rFonts w:ascii="黑体" w:eastAsia="黑体"/>
          <w:sz w:val="32"/>
          <w:szCs w:val="32"/>
        </w:rPr>
        <w:t>8</w:t>
      </w:r>
      <w:r w:rsidRPr="00D35429">
        <w:rPr>
          <w:rFonts w:ascii="黑体" w:eastAsia="黑体" w:hint="eastAsia"/>
          <w:sz w:val="32"/>
          <w:szCs w:val="32"/>
        </w:rPr>
        <w:t>-00</w:t>
      </w:r>
      <w:r>
        <w:rPr>
          <w:rFonts w:ascii="黑体" w:eastAsia="黑体"/>
          <w:sz w:val="32"/>
          <w:szCs w:val="32"/>
        </w:rPr>
        <w:t>0</w:t>
      </w:r>
      <w:r w:rsidR="00F56187">
        <w:rPr>
          <w:rFonts w:ascii="黑体" w:eastAsia="黑体"/>
          <w:sz w:val="32"/>
          <w:szCs w:val="32"/>
        </w:rPr>
        <w:t>5</w:t>
      </w:r>
    </w:p>
    <w:tbl>
      <w:tblPr>
        <w:tblW w:w="86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9"/>
        <w:gridCol w:w="1341"/>
      </w:tblGrid>
      <w:tr w:rsidR="004E67BD">
        <w:trPr>
          <w:trHeight w:val="3578"/>
        </w:trPr>
        <w:tc>
          <w:tcPr>
            <w:tcW w:w="7259" w:type="dxa"/>
            <w:tcBorders>
              <w:top w:val="nil"/>
              <w:left w:val="nil"/>
              <w:bottom w:val="nil"/>
              <w:right w:val="nil"/>
            </w:tcBorders>
          </w:tcPr>
          <w:p w:rsidR="004E67BD" w:rsidRDefault="004F5AF5">
            <w:pPr>
              <w:spacing w:line="1000" w:lineRule="exact"/>
              <w:jc w:val="left"/>
              <w:rPr>
                <w:rFonts w:ascii="文星简小标宋" w:eastAsia="文星简小标宋"/>
                <w:b/>
                <w:color w:val="FF0000"/>
                <w:spacing w:val="-20"/>
                <w:w w:val="56"/>
                <w:sz w:val="92"/>
                <w:szCs w:val="92"/>
              </w:rPr>
            </w:pPr>
            <w:r>
              <w:rPr>
                <w:rFonts w:ascii="文星简小标宋" w:eastAsia="文星简小标宋" w:hint="eastAsia"/>
                <w:b/>
                <w:color w:val="FF0000"/>
                <w:spacing w:val="-10"/>
                <w:w w:val="56"/>
                <w:sz w:val="92"/>
                <w:szCs w:val="92"/>
              </w:rPr>
              <w:t>嘉兴市城乡规划建设管理委员</w:t>
            </w:r>
            <w:r>
              <w:rPr>
                <w:rFonts w:ascii="文星简小标宋" w:eastAsia="文星简小标宋" w:hint="eastAsia"/>
                <w:b/>
                <w:color w:val="FF0000"/>
                <w:spacing w:val="-20"/>
                <w:w w:val="56"/>
                <w:sz w:val="92"/>
                <w:szCs w:val="92"/>
              </w:rPr>
              <w:t>会</w:t>
            </w:r>
          </w:p>
          <w:p w:rsidR="004E67BD" w:rsidRDefault="004F5AF5">
            <w:pPr>
              <w:spacing w:line="1000" w:lineRule="exact"/>
              <w:rPr>
                <w:rFonts w:ascii="文星简小标宋" w:eastAsia="文星简小标宋"/>
                <w:b/>
                <w:color w:val="FF0000"/>
                <w:spacing w:val="390"/>
                <w:w w:val="56"/>
                <w:sz w:val="92"/>
                <w:szCs w:val="92"/>
              </w:rPr>
            </w:pPr>
            <w:r>
              <w:rPr>
                <w:rFonts w:ascii="文星简小标宋" w:eastAsia="文星简小标宋" w:hint="eastAsia"/>
                <w:b/>
                <w:color w:val="FF0000"/>
                <w:spacing w:val="58"/>
                <w:w w:val="56"/>
                <w:sz w:val="92"/>
                <w:szCs w:val="92"/>
              </w:rPr>
              <w:t>嘉兴市发展和改革委员</w:t>
            </w:r>
            <w:r>
              <w:rPr>
                <w:rFonts w:ascii="文星简小标宋" w:eastAsia="文星简小标宋" w:hint="eastAsia"/>
                <w:b/>
                <w:color w:val="FF0000"/>
                <w:spacing w:val="60"/>
                <w:w w:val="56"/>
                <w:sz w:val="92"/>
                <w:szCs w:val="92"/>
              </w:rPr>
              <w:t>会</w:t>
            </w:r>
          </w:p>
          <w:p w:rsidR="004E67BD" w:rsidRDefault="004F5AF5">
            <w:pPr>
              <w:spacing w:line="1000" w:lineRule="exact"/>
              <w:jc w:val="left"/>
              <w:rPr>
                <w:rFonts w:ascii="文星简小标宋" w:eastAsia="文星简小标宋"/>
                <w:b/>
                <w:color w:val="FF0000"/>
                <w:spacing w:val="400"/>
                <w:w w:val="56"/>
                <w:sz w:val="92"/>
                <w:szCs w:val="92"/>
              </w:rPr>
            </w:pPr>
            <w:r>
              <w:rPr>
                <w:rFonts w:ascii="文星简小标宋" w:eastAsia="文星简小标宋" w:hint="eastAsia"/>
                <w:b/>
                <w:color w:val="FF0000"/>
                <w:spacing w:val="390"/>
                <w:w w:val="56"/>
                <w:sz w:val="92"/>
                <w:szCs w:val="92"/>
              </w:rPr>
              <w:t>嘉兴市物价</w:t>
            </w:r>
            <w:r>
              <w:rPr>
                <w:rFonts w:ascii="文星简小标宋" w:eastAsia="文星简小标宋" w:hint="eastAsia"/>
                <w:b/>
                <w:color w:val="FF0000"/>
                <w:w w:val="56"/>
                <w:sz w:val="92"/>
                <w:szCs w:val="92"/>
              </w:rPr>
              <w:t>局</w:t>
            </w:r>
          </w:p>
          <w:p w:rsidR="004E67BD" w:rsidRDefault="004F5AF5">
            <w:pPr>
              <w:spacing w:line="1000" w:lineRule="exact"/>
              <w:jc w:val="left"/>
              <w:rPr>
                <w:rFonts w:ascii="文星简小标宋" w:eastAsia="文星简小标宋"/>
                <w:b/>
                <w:color w:val="FF0000"/>
                <w:w w:val="56"/>
                <w:sz w:val="92"/>
                <w:szCs w:val="92"/>
              </w:rPr>
            </w:pPr>
            <w:r>
              <w:rPr>
                <w:rFonts w:ascii="文星简小标宋" w:eastAsia="文星简小标宋" w:hint="eastAsia"/>
                <w:b/>
                <w:color w:val="FF0000"/>
                <w:spacing w:val="100"/>
                <w:w w:val="56"/>
                <w:sz w:val="92"/>
                <w:szCs w:val="92"/>
              </w:rPr>
              <w:t>嘉兴市市场监督管理</w:t>
            </w:r>
            <w:r>
              <w:rPr>
                <w:rFonts w:ascii="文星简小标宋" w:eastAsia="文星简小标宋" w:hint="eastAsia"/>
                <w:b/>
                <w:color w:val="FF0000"/>
                <w:w w:val="56"/>
                <w:sz w:val="92"/>
                <w:szCs w:val="92"/>
              </w:rPr>
              <w:t>局</w:t>
            </w:r>
          </w:p>
          <w:p w:rsidR="004E67BD" w:rsidRDefault="004F5AF5">
            <w:pPr>
              <w:spacing w:line="1000" w:lineRule="exact"/>
              <w:jc w:val="left"/>
              <w:rPr>
                <w:rFonts w:ascii="文星简小标宋" w:eastAsia="文星简小标宋"/>
                <w:b/>
                <w:color w:val="FF0000"/>
                <w:w w:val="56"/>
                <w:sz w:val="92"/>
                <w:szCs w:val="92"/>
              </w:rPr>
            </w:pPr>
            <w:r>
              <w:rPr>
                <w:rFonts w:ascii="文星简小标宋" w:eastAsia="文星简小标宋" w:hint="eastAsia"/>
                <w:b/>
                <w:color w:val="FF0000"/>
                <w:w w:val="56"/>
                <w:sz w:val="92"/>
                <w:szCs w:val="92"/>
              </w:rPr>
              <w:t>嘉   兴   市   公   安   局</w:t>
            </w:r>
          </w:p>
          <w:p w:rsidR="004E67BD" w:rsidRDefault="004F5AF5">
            <w:pPr>
              <w:spacing w:line="1000" w:lineRule="exact"/>
              <w:jc w:val="left"/>
              <w:rPr>
                <w:rFonts w:ascii="文星简小标宋" w:eastAsia="文星简小标宋"/>
                <w:b/>
                <w:color w:val="FF0000"/>
                <w:w w:val="56"/>
                <w:sz w:val="92"/>
                <w:szCs w:val="92"/>
                <w:highlight w:val="yellow"/>
              </w:rPr>
            </w:pPr>
            <w:r>
              <w:rPr>
                <w:rFonts w:ascii="文星简小标宋" w:eastAsia="文星简小标宋" w:hint="eastAsia"/>
                <w:b/>
                <w:color w:val="FF0000"/>
                <w:w w:val="56"/>
                <w:sz w:val="92"/>
                <w:szCs w:val="92"/>
              </w:rPr>
              <w:t>嘉   兴   市 国 家 税 务 局</w:t>
            </w:r>
          </w:p>
          <w:p w:rsidR="004E67BD" w:rsidRDefault="004F5AF5">
            <w:pPr>
              <w:spacing w:line="1000" w:lineRule="exact"/>
              <w:jc w:val="left"/>
              <w:rPr>
                <w:rFonts w:ascii="文星简小标宋" w:eastAsia="文星简小标宋"/>
                <w:b/>
                <w:color w:val="FF0000"/>
                <w:w w:val="56"/>
                <w:sz w:val="92"/>
                <w:szCs w:val="92"/>
                <w:highlight w:val="yellow"/>
              </w:rPr>
            </w:pPr>
            <w:r>
              <w:rPr>
                <w:rFonts w:ascii="文星简小标宋" w:eastAsia="文星简小标宋" w:hint="eastAsia"/>
                <w:b/>
                <w:color w:val="FF0000"/>
                <w:w w:val="56"/>
                <w:sz w:val="92"/>
                <w:szCs w:val="92"/>
              </w:rPr>
              <w:t>嘉   兴   市 地 方 税 务 局</w:t>
            </w:r>
          </w:p>
          <w:p w:rsidR="004E67BD" w:rsidRDefault="004F5AF5">
            <w:pPr>
              <w:spacing w:line="1000" w:lineRule="exact"/>
              <w:jc w:val="left"/>
              <w:rPr>
                <w:rFonts w:ascii="文星简小标宋" w:eastAsia="文星简小标宋"/>
                <w:b/>
                <w:color w:val="FF0000"/>
                <w:spacing w:val="10"/>
                <w:w w:val="56"/>
                <w:sz w:val="92"/>
                <w:szCs w:val="92"/>
              </w:rPr>
            </w:pPr>
            <w:r>
              <w:rPr>
                <w:rFonts w:ascii="文星简小标宋" w:eastAsia="文星简小标宋" w:hint="eastAsia"/>
                <w:b/>
                <w:color w:val="FF0000"/>
                <w:spacing w:val="10"/>
                <w:w w:val="56"/>
                <w:sz w:val="92"/>
                <w:szCs w:val="92"/>
              </w:rPr>
              <w:t>中国人民银行嘉兴市中心支行</w:t>
            </w:r>
          </w:p>
          <w:p w:rsidR="004E67BD" w:rsidRDefault="004F5AF5">
            <w:pPr>
              <w:spacing w:line="1000" w:lineRule="exact"/>
              <w:jc w:val="left"/>
              <w:rPr>
                <w:rFonts w:ascii="文星简小标宋" w:eastAsia="文星简小标宋"/>
                <w:spacing w:val="-66"/>
                <w:w w:val="57"/>
                <w:sz w:val="32"/>
                <w:szCs w:val="32"/>
              </w:rPr>
            </w:pPr>
            <w:r>
              <w:rPr>
                <w:rFonts w:ascii="文星简小标宋" w:eastAsia="文星简小标宋" w:hint="eastAsia"/>
                <w:b/>
                <w:color w:val="FF0000"/>
                <w:spacing w:val="-66"/>
                <w:w w:val="56"/>
                <w:sz w:val="92"/>
                <w:szCs w:val="92"/>
              </w:rPr>
              <w:t>中国银行业监督管理委员会嘉兴监管分局</w:t>
            </w:r>
          </w:p>
        </w:tc>
        <w:tc>
          <w:tcPr>
            <w:tcW w:w="1341" w:type="dxa"/>
            <w:tcBorders>
              <w:top w:val="nil"/>
              <w:left w:val="nil"/>
              <w:bottom w:val="nil"/>
              <w:right w:val="nil"/>
            </w:tcBorders>
            <w:vAlign w:val="center"/>
          </w:tcPr>
          <w:p w:rsidR="004E67BD" w:rsidRDefault="004F5AF5">
            <w:pPr>
              <w:spacing w:line="1000" w:lineRule="exact"/>
              <w:rPr>
                <w:rFonts w:ascii="文星简小标宋" w:eastAsia="文星简小标宋"/>
                <w:w w:val="56"/>
                <w:sz w:val="32"/>
                <w:szCs w:val="32"/>
              </w:rPr>
            </w:pPr>
            <w:r>
              <w:rPr>
                <w:rFonts w:ascii="文星简小标宋" w:eastAsia="文星简小标宋" w:hint="eastAsia"/>
                <w:b/>
                <w:color w:val="FF0000"/>
                <w:w w:val="56"/>
                <w:sz w:val="92"/>
                <w:szCs w:val="92"/>
              </w:rPr>
              <w:t>文件</w:t>
            </w:r>
            <w:bookmarkStart w:id="0" w:name="_GoBack"/>
            <w:bookmarkEnd w:id="0"/>
          </w:p>
        </w:tc>
      </w:tr>
    </w:tbl>
    <w:p w:rsidR="004E67BD" w:rsidRDefault="004E67BD">
      <w:pPr>
        <w:spacing w:line="360" w:lineRule="auto"/>
        <w:rPr>
          <w:rFonts w:ascii="文星简小标宋" w:eastAsia="文星简小标宋"/>
          <w:sz w:val="24"/>
          <w:szCs w:val="24"/>
        </w:rPr>
      </w:pPr>
    </w:p>
    <w:p w:rsidR="004E67BD" w:rsidRDefault="004F5AF5">
      <w:pPr>
        <w:spacing w:line="360" w:lineRule="auto"/>
        <w:rPr>
          <w:rFonts w:ascii="文星简小标宋" w:eastAsia="文星简小标宋"/>
          <w:sz w:val="24"/>
          <w:szCs w:val="24"/>
        </w:rPr>
      </w:pPr>
      <w:r>
        <w:rPr>
          <w:rFonts w:ascii="文星简小标宋" w:eastAsia="文星简小标宋"/>
          <w:noProof/>
          <w:sz w:val="30"/>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ge">
                  <wp:posOffset>7063105</wp:posOffset>
                </wp:positionV>
                <wp:extent cx="5601335" cy="396240"/>
                <wp:effectExtent l="0" t="0" r="0" b="0"/>
                <wp:wrapTopAndBottom/>
                <wp:docPr id="1" name="文本框 3"/>
                <wp:cNvGraphicFramePr/>
                <a:graphic xmlns:a="http://schemas.openxmlformats.org/drawingml/2006/main">
                  <a:graphicData uri="http://schemas.microsoft.com/office/word/2010/wordprocessingShape">
                    <wps:wsp>
                      <wps:cNvSpPr txBox="1"/>
                      <wps:spPr>
                        <a:xfrm>
                          <a:off x="0" y="0"/>
                          <a:ext cx="5601335" cy="396240"/>
                        </a:xfrm>
                        <a:prstGeom prst="rect">
                          <a:avLst/>
                        </a:prstGeom>
                        <a:noFill/>
                        <a:ln w="9525">
                          <a:noFill/>
                        </a:ln>
                      </wps:spPr>
                      <wps:txbx>
                        <w:txbxContent>
                          <w:p w:rsidR="004E67BD" w:rsidRDefault="004F5AF5">
                            <w:pPr>
                              <w:jc w:val="center"/>
                              <w:rPr>
                                <w:sz w:val="32"/>
                                <w:szCs w:val="32"/>
                              </w:rPr>
                            </w:pPr>
                            <w:r>
                              <w:rPr>
                                <w:rFonts w:ascii="仿宋_GB2312" w:eastAsia="仿宋_GB2312" w:hint="eastAsia"/>
                                <w:sz w:val="32"/>
                                <w:szCs w:val="32"/>
                              </w:rPr>
                              <w:t>嘉建〔2018〕</w:t>
                            </w:r>
                            <w:r w:rsidR="00215FF4">
                              <w:rPr>
                                <w:rFonts w:ascii="仿宋_GB2312" w:eastAsia="仿宋_GB2312"/>
                                <w:sz w:val="32"/>
                                <w:szCs w:val="32"/>
                              </w:rPr>
                              <w:t>4</w:t>
                            </w:r>
                            <w:r>
                              <w:rPr>
                                <w:rFonts w:ascii="仿宋_GB2312" w:eastAsia="仿宋_GB2312" w:hint="eastAsia"/>
                                <w:sz w:val="32"/>
                                <w:szCs w:val="32"/>
                              </w:rPr>
                              <w:t>号</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2pt;margin-top:556.15pt;width:441.05pt;height:31.2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" filled="f" stroked="f">
                <v:textbox>
                  <w:txbxContent>
                    <w:p w:rsidR="004E67BD" w:rsidRDefault="004F5AF5">
                      <w:pPr>
                        <w:jc w:val="center"/>
                        <w:rPr>
                          <w:sz w:val="32"/>
                          <w:szCs w:val="32"/>
                        </w:rPr>
                      </w:pPr>
                      <w:r>
                        <w:rPr>
                          <w:rFonts w:ascii="仿宋_GB2312" w:eastAsia="仿宋_GB2312" w:hint="eastAsia"/>
                          <w:sz w:val="32"/>
                          <w:szCs w:val="32"/>
                        </w:rPr>
                        <w:t>嘉建〔2018〕</w:t>
                      </w:r>
                      <w:r w:rsidR="00215FF4">
                        <w:rPr>
                          <w:rFonts w:ascii="仿宋_GB2312" w:eastAsia="仿宋_GB2312"/>
                          <w:sz w:val="32"/>
                          <w:szCs w:val="32"/>
                        </w:rPr>
                        <w:t>4</w:t>
                      </w:r>
                      <w:r>
                        <w:rPr>
                          <w:rFonts w:ascii="仿宋_GB2312" w:eastAsia="仿宋_GB2312" w:hint="eastAsia"/>
                          <w:sz w:val="32"/>
                          <w:szCs w:val="32"/>
                        </w:rPr>
                        <w:t>号</w:t>
                      </w:r>
                    </w:p>
                  </w:txbxContent>
                </v:textbox>
                <w10:wrap type="topAndBottom" anchory="page"/>
              </v:shape>
            </w:pict>
          </mc:Fallback>
        </mc:AlternateContent>
      </w:r>
      <w:r>
        <w:rPr>
          <w:rFonts w:ascii="文星简小标宋" w:eastAsia="文星简小标宋"/>
          <w:noProof/>
          <w:sz w:val="24"/>
          <w:szCs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ge">
                  <wp:posOffset>7480935</wp:posOffset>
                </wp:positionV>
                <wp:extent cx="5600700" cy="0"/>
                <wp:effectExtent l="0" t="19050" r="0" b="19050"/>
                <wp:wrapNone/>
                <wp:docPr id="2" name="直线 2"/>
                <wp:cNvGraphicFramePr/>
                <a:graphic xmlns:a="http://schemas.openxmlformats.org/drawingml/2006/main">
                  <a:graphicData uri="http://schemas.microsoft.com/office/word/2010/wordprocessingShape">
                    <wps:wsp>
                      <wps:cNvCnPr/>
                      <wps:spPr>
                        <a:xfrm>
                          <a:off x="0" y="0"/>
                          <a:ext cx="5600700" cy="0"/>
                        </a:xfrm>
                        <a:prstGeom prst="line">
                          <a:avLst/>
                        </a:prstGeom>
                        <a:ln w="38100" cap="flat" cmpd="sng">
                          <a:solidFill>
                            <a:srgbClr val="FF0000"/>
                          </a:solidFill>
                          <a:prstDash val="solid"/>
                          <a:headEnd type="none" w="med" len="med"/>
                          <a:tailEnd type="none" w="med" len="med"/>
                        </a:ln>
                      </wps:spPr>
                      <wps:bodyPr/>
                    </wps:wsp>
                  </a:graphicData>
                </a:graphic>
              </wp:anchor>
            </w:drawing>
          </mc:Choice>
          <mc:Fallback>
            <w:pict>
              <v:line w14:anchorId="768BFCA0" id="直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page" from="-9pt,589.05pt" to="6in,5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" strokecolor="red" strokeweight="3pt">
                <w10:wrap anchory="page"/>
              </v:line>
            </w:pict>
          </mc:Fallback>
        </mc:AlternateContent>
      </w:r>
    </w:p>
    <w:p w:rsidR="004E67BD" w:rsidRDefault="004F5AF5">
      <w:pPr>
        <w:spacing w:line="360" w:lineRule="auto"/>
        <w:jc w:val="center"/>
        <w:rPr>
          <w:rFonts w:ascii="宋体" w:eastAsia="宋体" w:hAnsi="宋体" w:cs="宋体"/>
          <w:b/>
          <w:color w:val="333333"/>
          <w:spacing w:val="-20"/>
          <w:sz w:val="44"/>
          <w:szCs w:val="44"/>
        </w:rPr>
      </w:pPr>
      <w:r>
        <w:rPr>
          <w:rFonts w:ascii="宋体" w:hAnsi="宋体" w:hint="eastAsia"/>
          <w:b/>
          <w:spacing w:val="-20"/>
          <w:sz w:val="44"/>
          <w:szCs w:val="44"/>
        </w:rPr>
        <w:t>嘉兴市建委等9部门</w:t>
      </w:r>
      <w:r>
        <w:rPr>
          <w:rFonts w:ascii="宋体" w:eastAsia="宋体" w:hAnsi="宋体" w:cs="宋体" w:hint="eastAsia"/>
          <w:b/>
          <w:color w:val="333333"/>
          <w:spacing w:val="-20"/>
          <w:sz w:val="44"/>
          <w:szCs w:val="44"/>
        </w:rPr>
        <w:t>关于进一步加强市区房地产市场监管 规范商品住房销售行为的通知</w:t>
      </w:r>
    </w:p>
    <w:p w:rsidR="004E67BD" w:rsidRDefault="004E67BD">
      <w:pPr>
        <w:spacing w:line="360" w:lineRule="auto"/>
        <w:rPr>
          <w:rFonts w:ascii="仿宋_GB2312" w:eastAsia="仿宋_GB2312"/>
          <w:sz w:val="32"/>
          <w:szCs w:val="32"/>
        </w:rPr>
      </w:pPr>
    </w:p>
    <w:p w:rsidR="004E67BD" w:rsidRDefault="004F5AF5">
      <w:pPr>
        <w:spacing w:line="360" w:lineRule="auto"/>
        <w:rPr>
          <w:rFonts w:ascii="仿宋_GB2312" w:eastAsia="仿宋_GB2312"/>
          <w:sz w:val="32"/>
          <w:szCs w:val="32"/>
        </w:rPr>
      </w:pPr>
      <w:r>
        <w:rPr>
          <w:rFonts w:ascii="仿宋_GB2312" w:eastAsia="仿宋_GB2312" w:hint="eastAsia"/>
          <w:sz w:val="32"/>
          <w:szCs w:val="32"/>
        </w:rPr>
        <w:t>各区住建局、发改局、市场监管局（分局）、公安分局、国</w:t>
      </w:r>
      <w:r>
        <w:rPr>
          <w:rFonts w:ascii="仿宋_GB2312" w:eastAsia="仿宋_GB2312" w:hint="eastAsia"/>
          <w:sz w:val="32"/>
          <w:szCs w:val="32"/>
        </w:rPr>
        <w:lastRenderedPageBreak/>
        <w:t>税局（分局）、地税分局：</w:t>
      </w:r>
    </w:p>
    <w:p w:rsidR="004E67BD" w:rsidRDefault="004F5AF5">
      <w:pPr>
        <w:spacing w:line="360" w:lineRule="auto"/>
        <w:ind w:firstLineChars="200" w:firstLine="640"/>
        <w:rPr>
          <w:rFonts w:ascii="仿宋_GB2312" w:eastAsia="仿宋_GB2312"/>
          <w:sz w:val="32"/>
          <w:szCs w:val="32"/>
        </w:rPr>
      </w:pPr>
      <w:r>
        <w:rPr>
          <w:rFonts w:ascii="仿宋_GB2312" w:eastAsia="仿宋_GB2312" w:hint="eastAsia"/>
          <w:sz w:val="32"/>
          <w:szCs w:val="32"/>
        </w:rPr>
        <w:t>为进一步规范嘉兴市区新建商品住房销售行为，遏制投机炒作，维护房地产市场秩序，促进房地产市场平稳健康发展，现将有关工作通知如下：</w:t>
      </w:r>
    </w:p>
    <w:p w:rsidR="004E67BD" w:rsidRDefault="004F5AF5">
      <w:pPr>
        <w:numPr>
          <w:ilvl w:val="0"/>
          <w:numId w:val="1"/>
        </w:num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规范新建商品住房销售</w:t>
      </w:r>
    </w:p>
    <w:p w:rsidR="004E67BD" w:rsidRDefault="004F5AF5">
      <w:pPr>
        <w:spacing w:line="360" w:lineRule="auto"/>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1.完善商品住房预售许可管理。</w:t>
      </w:r>
      <w:r>
        <w:rPr>
          <w:rFonts w:ascii="仿宋_GB2312" w:eastAsia="仿宋_GB2312" w:hint="eastAsia"/>
          <w:sz w:val="32"/>
          <w:szCs w:val="32"/>
        </w:rPr>
        <w:t>房地产开发企业应在项目取得《商品房预售许可证》后10日内一次性公开销售全部准售房源，不得分幢、分单元、分层、分批销售。在未取得《商品房预售许可证》前，房地产开发企业一律不得通过任何方式认购。</w:t>
      </w:r>
    </w:p>
    <w:p w:rsidR="004E67BD" w:rsidRDefault="004F5AF5">
      <w:pPr>
        <w:spacing w:line="360" w:lineRule="auto"/>
        <w:ind w:firstLineChars="200" w:firstLine="640"/>
        <w:rPr>
          <w:rFonts w:ascii="仿宋_GB2312" w:eastAsia="仿宋_GB2312"/>
          <w:sz w:val="32"/>
          <w:szCs w:val="32"/>
        </w:rPr>
      </w:pPr>
      <w:r>
        <w:rPr>
          <w:rFonts w:ascii="楷体_GB2312" w:eastAsia="楷体_GB2312" w:hAnsi="楷体_GB2312" w:cs="楷体_GB2312" w:hint="eastAsia"/>
          <w:sz w:val="32"/>
          <w:szCs w:val="32"/>
        </w:rPr>
        <w:t>2.健全商品住房公开销售制度。</w:t>
      </w:r>
      <w:r>
        <w:rPr>
          <w:rFonts w:ascii="仿宋_GB2312" w:eastAsia="仿宋_GB2312" w:hint="eastAsia"/>
          <w:sz w:val="32"/>
          <w:szCs w:val="32"/>
        </w:rPr>
        <w:t>房地产开发企业在申请《商品房预售许可证》前，应向房地产主管部门提交销售承诺书，承诺书应包括车位、储藏室价格以及是否委托经纪机构销售、是否全装修出售等内容。销售商品房时，应当在销售现场醒目位置公示全部准售房源、“一房一价”、销售承诺书及销售结果，便于购房者对车位、装修售价及相关信息内容进行合理预期。房地产开发企业应合理安排开盘时间和销售方式，避免在夜间（20:00至次日8:00）进行项目开盘和销售活动，意向购房人数多于准售房源的，宜采取摇号等方式公开销售，也可邀请公证机构全程监督。项目销售期间，应主动配合并接受属地房地产主管部门的现场监督。</w:t>
      </w:r>
    </w:p>
    <w:p w:rsidR="004E67BD" w:rsidRDefault="004F5AF5">
      <w:pPr>
        <w:spacing w:line="360" w:lineRule="auto"/>
        <w:ind w:firstLineChars="200" w:firstLine="640"/>
        <w:rPr>
          <w:rFonts w:ascii="仿宋_GB2312" w:eastAsia="仿宋_GB2312"/>
          <w:sz w:val="32"/>
          <w:szCs w:val="32"/>
        </w:rPr>
      </w:pPr>
      <w:r>
        <w:rPr>
          <w:rFonts w:ascii="楷体_GB2312" w:eastAsia="楷体_GB2312" w:hAnsi="楷体_GB2312" w:cs="楷体_GB2312" w:hint="eastAsia"/>
          <w:sz w:val="32"/>
          <w:szCs w:val="32"/>
        </w:rPr>
        <w:t>3.严格落实购房实名制。</w:t>
      </w:r>
      <w:r>
        <w:rPr>
          <w:rFonts w:ascii="仿宋_GB2312" w:eastAsia="仿宋_GB2312" w:hint="eastAsia"/>
          <w:sz w:val="32"/>
          <w:szCs w:val="32"/>
        </w:rPr>
        <w:t>签订商品房认购协议前，房地</w:t>
      </w:r>
      <w:r>
        <w:rPr>
          <w:rFonts w:ascii="仿宋_GB2312" w:eastAsia="仿宋_GB2312" w:hint="eastAsia"/>
          <w:sz w:val="32"/>
          <w:szCs w:val="32"/>
        </w:rPr>
        <w:lastRenderedPageBreak/>
        <w:t>产开发企业及其委托的经纪机构须严格核实购房者的认购资格，房屋认购后不得随意变更。办理商品房买卖合同网签备案时，购房人原则上应与认购人一致。房地产开发企业及其委托的经纪机构不得为他人违规转让期房提供便利或经纪服务。对于已办理网签备案的商品房买卖合同，房地产开发企业和买受人申请撤销合同备案的，须经房地产主管部门网站公示。</w:t>
      </w:r>
    </w:p>
    <w:p w:rsidR="004E67BD" w:rsidRDefault="004F5AF5">
      <w:pPr>
        <w:spacing w:line="360" w:lineRule="auto"/>
        <w:ind w:firstLineChars="200" w:firstLine="640"/>
        <w:rPr>
          <w:rFonts w:ascii="仿宋_GB2312" w:eastAsia="仿宋_GB2312"/>
          <w:sz w:val="32"/>
          <w:szCs w:val="32"/>
        </w:rPr>
      </w:pPr>
      <w:r>
        <w:rPr>
          <w:rFonts w:ascii="楷体_GB2312" w:eastAsia="楷体_GB2312" w:hAnsi="楷体_GB2312" w:cs="楷体_GB2312" w:hint="eastAsia"/>
          <w:sz w:val="32"/>
          <w:szCs w:val="32"/>
        </w:rPr>
        <w:t>4.严禁价外加价</w:t>
      </w:r>
      <w:r>
        <w:rPr>
          <w:rFonts w:ascii="楷体_GB2312" w:eastAsia="楷体_GB2312" w:hAnsi="楷体_GB2312" w:cs="楷体_GB2312" w:hint="eastAsia"/>
          <w:kern w:val="0"/>
          <w:sz w:val="32"/>
          <w:szCs w:val="32"/>
        </w:rPr>
        <w:t>。</w:t>
      </w:r>
      <w:r>
        <w:rPr>
          <w:rFonts w:ascii="仿宋_GB2312" w:eastAsia="仿宋_GB2312" w:hAnsi="宋体" w:cs="Times New Roman" w:hint="eastAsia"/>
          <w:kern w:val="0"/>
          <w:sz w:val="32"/>
          <w:szCs w:val="32"/>
        </w:rPr>
        <w:t>房地产开发企业及其委托的经纪机构应按商品房预售方案备案价格对外销售，不得收取备案价格之外的其他任何价款或费用，不得以附加条件等限定方式，使购房人接受商品或者服务价格。</w:t>
      </w:r>
    </w:p>
    <w:p w:rsidR="004E67BD" w:rsidRDefault="004F5AF5">
      <w:pPr>
        <w:spacing w:line="360" w:lineRule="auto"/>
        <w:ind w:firstLineChars="200" w:firstLine="640"/>
        <w:rPr>
          <w:rFonts w:ascii="仿宋_GB2312" w:eastAsia="仿宋_GB2312"/>
          <w:sz w:val="32"/>
          <w:szCs w:val="32"/>
        </w:rPr>
      </w:pPr>
      <w:r>
        <w:rPr>
          <w:rFonts w:ascii="楷体_GB2312" w:eastAsia="楷体_GB2312" w:hAnsi="楷体_GB2312" w:cs="楷体_GB2312" w:hint="eastAsia"/>
          <w:kern w:val="0"/>
          <w:sz w:val="32"/>
          <w:szCs w:val="32"/>
        </w:rPr>
        <w:t>5.维护购房贷款权益。</w:t>
      </w:r>
      <w:r>
        <w:rPr>
          <w:rFonts w:ascii="仿宋_GB2312" w:eastAsia="仿宋_GB2312" w:hint="eastAsia"/>
          <w:kern w:val="0"/>
          <w:sz w:val="32"/>
          <w:szCs w:val="32"/>
        </w:rPr>
        <w:t>房地产开发企业销售商品房时，不得限制、阻挠、拒绝购房人选择住房公积金贷款、商业贷款，不得要求或变相要求购房人签署自愿放弃住房公积金贷款、商业贷款权利的书面文件。</w:t>
      </w:r>
      <w:r>
        <w:rPr>
          <w:rFonts w:ascii="仿宋_GB2312" w:eastAsia="仿宋_GB2312" w:hint="eastAsia"/>
          <w:sz w:val="32"/>
          <w:szCs w:val="32"/>
        </w:rPr>
        <w:t xml:space="preserve"> </w:t>
      </w:r>
    </w:p>
    <w:p w:rsidR="004E67BD" w:rsidRDefault="004F5AF5">
      <w:pPr>
        <w:widowControl/>
        <w:spacing w:line="360" w:lineRule="auto"/>
        <w:ind w:firstLineChars="200" w:firstLine="640"/>
        <w:rPr>
          <w:rFonts w:ascii="仿宋_GB2312" w:eastAsia="仿宋_GB2312"/>
          <w:kern w:val="0"/>
          <w:sz w:val="32"/>
          <w:szCs w:val="32"/>
        </w:rPr>
      </w:pPr>
      <w:r>
        <w:rPr>
          <w:rFonts w:ascii="楷体_GB2312" w:eastAsia="楷体_GB2312" w:hAnsi="楷体_GB2312" w:cs="楷体_GB2312" w:hint="eastAsia"/>
          <w:kern w:val="0"/>
          <w:sz w:val="32"/>
          <w:szCs w:val="32"/>
        </w:rPr>
        <w:t>6.加强商品房预售资金监管。</w:t>
      </w:r>
      <w:r>
        <w:rPr>
          <w:rFonts w:ascii="仿宋_GB2312" w:eastAsia="仿宋_GB2312" w:hint="eastAsia"/>
          <w:kern w:val="0"/>
          <w:sz w:val="32"/>
          <w:szCs w:val="32"/>
        </w:rPr>
        <w:t>房地产开发企业必须严格执行商品房预售资金监管有关规定，在当地银行机构申请开立商品房预售资金专用存款账户，同时办理监管账户</w:t>
      </w:r>
      <w:r w:rsidR="00A76DDE">
        <w:rPr>
          <w:rFonts w:ascii="仿宋_GB2312" w:eastAsia="仿宋_GB2312"/>
          <w:kern w:val="0"/>
          <w:sz w:val="32"/>
          <w:szCs w:val="32"/>
        </w:rPr>
        <w:t>POS</w:t>
      </w:r>
      <w:r>
        <w:rPr>
          <w:rFonts w:ascii="仿宋_GB2312" w:eastAsia="仿宋_GB2312" w:hint="eastAsia"/>
          <w:kern w:val="0"/>
          <w:sz w:val="32"/>
          <w:szCs w:val="32"/>
        </w:rPr>
        <w:t>终端，并将全部商品房销售款项包括预订款、首付款、分期付款、一次性付款和银行按揭贷款、住房公积金贷款等全额存入预售资金专用存款账户。除专用存款账户以外，凡办理监</w:t>
      </w:r>
      <w:r>
        <w:rPr>
          <w:rFonts w:ascii="仿宋_GB2312" w:eastAsia="仿宋_GB2312" w:hint="eastAsia"/>
          <w:kern w:val="0"/>
          <w:sz w:val="32"/>
          <w:szCs w:val="32"/>
        </w:rPr>
        <w:lastRenderedPageBreak/>
        <w:t>管项目个人住房贷款业务的其他银行账户必须申请设置为预售资金辅助账户。</w:t>
      </w:r>
    </w:p>
    <w:p w:rsidR="004E67BD" w:rsidRDefault="004F5AF5">
      <w:pPr>
        <w:widowControl/>
        <w:spacing w:line="360" w:lineRule="auto"/>
        <w:ind w:firstLineChars="200" w:firstLine="640"/>
        <w:rPr>
          <w:rFonts w:ascii="仿宋_GB2312" w:eastAsia="仿宋_GB2312"/>
          <w:kern w:val="0"/>
          <w:sz w:val="32"/>
          <w:szCs w:val="32"/>
        </w:rPr>
      </w:pPr>
      <w:r>
        <w:rPr>
          <w:rFonts w:ascii="黑体" w:eastAsia="黑体" w:hAnsi="黑体" w:cs="黑体" w:hint="eastAsia"/>
          <w:color w:val="000000"/>
          <w:kern w:val="0"/>
          <w:sz w:val="32"/>
          <w:szCs w:val="32"/>
        </w:rPr>
        <w:t>二、加大各部门执法查处力度</w:t>
      </w:r>
    </w:p>
    <w:p w:rsidR="004E67BD" w:rsidRDefault="004F5AF5">
      <w:pPr>
        <w:widowControl/>
        <w:spacing w:line="360" w:lineRule="auto"/>
        <w:ind w:firstLineChars="200" w:firstLine="640"/>
        <w:rPr>
          <w:rFonts w:ascii="仿宋_GB2312" w:eastAsia="仿宋_GB2312"/>
          <w:kern w:val="0"/>
          <w:sz w:val="32"/>
          <w:szCs w:val="32"/>
        </w:rPr>
      </w:pPr>
      <w:r>
        <w:rPr>
          <w:rFonts w:ascii="仿宋_GB2312" w:eastAsia="仿宋_GB2312" w:hAnsi="宋体" w:cs="Times New Roman" w:hint="eastAsia"/>
          <w:color w:val="000000"/>
          <w:kern w:val="0"/>
          <w:sz w:val="32"/>
          <w:szCs w:val="32"/>
        </w:rPr>
        <w:t>各部门要进一步明确工作职责，加强房地产市场各类行为监管，对房地产开发企业、房地产经纪机构违法违规行为依法进行查处。</w:t>
      </w:r>
    </w:p>
    <w:p w:rsidR="004E67BD" w:rsidRDefault="004F5AF5">
      <w:pPr>
        <w:spacing w:line="360" w:lineRule="auto"/>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1.建设部门查处下列行为：</w:t>
      </w:r>
      <w:r>
        <w:rPr>
          <w:rFonts w:ascii="仿宋_GB2312" w:eastAsia="仿宋_GB2312" w:hint="eastAsia"/>
          <w:sz w:val="32"/>
          <w:szCs w:val="32"/>
        </w:rPr>
        <w:t>在未取得《商品房预售许可证》前销售商品房；捂盘惜售或者变相囤积房源；</w:t>
      </w:r>
      <w:r>
        <w:rPr>
          <w:rFonts w:ascii="仿宋_GB2312" w:eastAsia="仿宋_GB2312" w:hAnsi="宋体" w:cs="Times New Roman" w:hint="eastAsia"/>
          <w:color w:val="000000"/>
          <w:kern w:val="0"/>
          <w:sz w:val="32"/>
          <w:szCs w:val="32"/>
        </w:rPr>
        <w:t>房地产开发企业骗取工程建设资金、擅自截留挪用购房人预购房款或者不将购房人预购房款存入资金账户；</w:t>
      </w:r>
      <w:r>
        <w:rPr>
          <w:rFonts w:ascii="仿宋_GB2312" w:eastAsia="仿宋_GB2312" w:hint="eastAsia"/>
          <w:sz w:val="32"/>
          <w:szCs w:val="32"/>
        </w:rPr>
        <w:t>承接新建商品住房代理业务的</w:t>
      </w:r>
      <w:r>
        <w:rPr>
          <w:rFonts w:ascii="仿宋_GB2312" w:eastAsia="仿宋_GB2312" w:hAnsi="黑体" w:hint="eastAsia"/>
          <w:sz w:val="32"/>
          <w:szCs w:val="32"/>
        </w:rPr>
        <w:t>经纪机构未在房地产主管部门办理房地产经纪机构备案</w:t>
      </w:r>
      <w:r>
        <w:rPr>
          <w:rFonts w:ascii="仿宋_GB2312" w:eastAsia="仿宋_GB2312" w:hAnsi="宋体" w:cs="Times New Roman" w:hint="eastAsia"/>
          <w:color w:val="000000"/>
          <w:kern w:val="0"/>
          <w:sz w:val="32"/>
          <w:szCs w:val="32"/>
        </w:rPr>
        <w:t>；房地产经纪机构未按照规定如实记录业务情况或者保存房地产经纪服务合同；其他违反房地产代理服务相关规定提供经纪服务行为。</w:t>
      </w:r>
    </w:p>
    <w:p w:rsidR="004E67BD" w:rsidRDefault="004F5AF5">
      <w:pPr>
        <w:spacing w:line="360" w:lineRule="auto"/>
        <w:ind w:firstLineChars="200" w:firstLine="640"/>
        <w:rPr>
          <w:rFonts w:ascii="仿宋_GB2312" w:eastAsia="仿宋_GB2312" w:hAnsi="宋体" w:cs="Times New Roman"/>
          <w:kern w:val="0"/>
          <w:sz w:val="32"/>
          <w:szCs w:val="32"/>
        </w:rPr>
      </w:pPr>
      <w:r>
        <w:rPr>
          <w:rFonts w:ascii="楷体_GB2312" w:eastAsia="楷体_GB2312" w:hAnsi="楷体_GB2312" w:cs="楷体_GB2312" w:hint="eastAsia"/>
          <w:kern w:val="0"/>
          <w:sz w:val="32"/>
          <w:szCs w:val="32"/>
        </w:rPr>
        <w:t>2.发改（物价）部门查处下列行为</w:t>
      </w:r>
      <w:r>
        <w:rPr>
          <w:rFonts w:ascii="仿宋_GB2312" w:eastAsia="仿宋_GB2312" w:hAnsi="宋体" w:cs="Times New Roman" w:hint="eastAsia"/>
          <w:kern w:val="0"/>
          <w:sz w:val="32"/>
          <w:szCs w:val="32"/>
        </w:rPr>
        <w:t>：</w:t>
      </w:r>
      <w:r>
        <w:rPr>
          <w:rFonts w:ascii="仿宋_GB2312" w:eastAsia="仿宋_GB2312" w:hint="eastAsia"/>
          <w:sz w:val="32"/>
          <w:szCs w:val="32"/>
        </w:rPr>
        <w:t>商品房销售时未按规定明码标价；</w:t>
      </w:r>
      <w:r>
        <w:rPr>
          <w:rFonts w:ascii="仿宋_GB2312" w:eastAsia="仿宋_GB2312"/>
          <w:sz w:val="32"/>
          <w:szCs w:val="32"/>
        </w:rPr>
        <w:t>标价之外加价销售商品房</w:t>
      </w:r>
      <w:r>
        <w:rPr>
          <w:rFonts w:ascii="仿宋_GB2312" w:eastAsia="仿宋_GB2312" w:hint="eastAsia"/>
          <w:sz w:val="32"/>
          <w:szCs w:val="32"/>
        </w:rPr>
        <w:t>；</w:t>
      </w:r>
      <w:r>
        <w:rPr>
          <w:rFonts w:ascii="仿宋_GB2312" w:eastAsia="仿宋_GB2312"/>
          <w:sz w:val="32"/>
          <w:szCs w:val="32"/>
        </w:rPr>
        <w:t>收取未予标明的费用</w:t>
      </w:r>
      <w:r>
        <w:rPr>
          <w:rFonts w:ascii="仿宋_GB2312" w:eastAsia="仿宋_GB2312" w:hint="eastAsia"/>
          <w:sz w:val="32"/>
          <w:szCs w:val="32"/>
        </w:rPr>
        <w:t>;</w:t>
      </w:r>
      <w:r>
        <w:rPr>
          <w:rFonts w:ascii="仿宋_GB2312" w:eastAsia="仿宋_GB2312" w:hAnsi="宋体" w:cs="Times New Roman" w:hint="eastAsia"/>
          <w:kern w:val="0"/>
          <w:sz w:val="32"/>
          <w:szCs w:val="32"/>
        </w:rPr>
        <w:t>利用虚假或者使人误解的标价内容或标价方式进行价格欺诈;其他违反价格法律法规的行为。</w:t>
      </w:r>
    </w:p>
    <w:p w:rsidR="004E67BD" w:rsidRDefault="004F5AF5">
      <w:pPr>
        <w:spacing w:line="360" w:lineRule="auto"/>
        <w:ind w:firstLineChars="200" w:firstLine="640"/>
        <w:rPr>
          <w:rFonts w:ascii="仿宋_GB2312" w:eastAsia="仿宋_GB2312" w:hAnsi="宋体" w:cs="Times New Roman"/>
          <w:color w:val="000000"/>
          <w:kern w:val="0"/>
          <w:sz w:val="32"/>
          <w:szCs w:val="32"/>
        </w:rPr>
      </w:pPr>
      <w:r>
        <w:rPr>
          <w:rFonts w:ascii="楷体_GB2312" w:eastAsia="楷体_GB2312" w:hAnsi="楷体_GB2312" w:cs="楷体_GB2312" w:hint="eastAsia"/>
          <w:kern w:val="0"/>
          <w:sz w:val="32"/>
          <w:szCs w:val="32"/>
        </w:rPr>
        <w:t>3.市场监管部门查处下列行为</w:t>
      </w:r>
      <w:r>
        <w:rPr>
          <w:rFonts w:ascii="仿宋_GB2312" w:eastAsia="仿宋_GB2312" w:hAnsi="宋体" w:cs="Times New Roman" w:hint="eastAsia"/>
          <w:kern w:val="0"/>
          <w:sz w:val="32"/>
          <w:szCs w:val="32"/>
        </w:rPr>
        <w:t>：经营者通过虚假交易等方式进行虚假或引人误解的商业宣传；采用欺骗等不正当手段进行有奖销售行为等不正当竞争行为；未取得营业执照擅自从事房地产经纪服务业务；违反广告管理法律法规发布虚</w:t>
      </w:r>
      <w:r>
        <w:rPr>
          <w:rFonts w:ascii="仿宋_GB2312" w:eastAsia="仿宋_GB2312" w:hAnsi="宋体" w:cs="Times New Roman" w:hint="eastAsia"/>
          <w:kern w:val="0"/>
          <w:sz w:val="32"/>
          <w:szCs w:val="32"/>
        </w:rPr>
        <w:lastRenderedPageBreak/>
        <w:t>假违法广告；利用格式合同条款侵害消费者合法权益；其他违反市场监督管理法律法规的行为。</w:t>
      </w:r>
    </w:p>
    <w:p w:rsidR="004E67BD" w:rsidRDefault="004F5AF5">
      <w:pPr>
        <w:spacing w:line="360" w:lineRule="auto"/>
        <w:ind w:firstLineChars="200" w:firstLine="640"/>
        <w:rPr>
          <w:rFonts w:ascii="仿宋_GB2312" w:eastAsia="仿宋_GB2312"/>
          <w:color w:val="0000FF"/>
          <w:sz w:val="32"/>
          <w:szCs w:val="32"/>
        </w:rPr>
      </w:pPr>
      <w:r>
        <w:rPr>
          <w:rFonts w:ascii="楷体_GB2312" w:eastAsia="楷体_GB2312" w:hAnsi="楷体_GB2312" w:cs="楷体_GB2312" w:hint="eastAsia"/>
          <w:color w:val="000000"/>
          <w:kern w:val="0"/>
          <w:sz w:val="32"/>
          <w:szCs w:val="32"/>
        </w:rPr>
        <w:t>4.公安部门查处下列行为</w:t>
      </w:r>
      <w:r>
        <w:rPr>
          <w:rFonts w:ascii="仿宋_GB2312" w:eastAsia="仿宋_GB2312" w:hAnsi="宋体" w:cs="Times New Roman" w:hint="eastAsia"/>
          <w:color w:val="000000"/>
          <w:kern w:val="0"/>
          <w:sz w:val="32"/>
          <w:szCs w:val="32"/>
        </w:rPr>
        <w:t>：非法获取、出售或者提供购房人公民个人</w:t>
      </w:r>
      <w:r>
        <w:rPr>
          <w:rFonts w:ascii="仿宋_GB2312" w:eastAsia="仿宋_GB2312" w:hAnsi="宋体" w:cs="Times New Roman" w:hint="eastAsia"/>
          <w:kern w:val="0"/>
          <w:sz w:val="32"/>
          <w:szCs w:val="32"/>
        </w:rPr>
        <w:t>信息；</w:t>
      </w:r>
      <w:r>
        <w:rPr>
          <w:rFonts w:ascii="仿宋_GB2312" w:eastAsia="仿宋_GB2312" w:hAnsi="宋体" w:cs="宋体" w:hint="eastAsia"/>
          <w:kern w:val="0"/>
          <w:sz w:val="32"/>
          <w:szCs w:val="32"/>
        </w:rPr>
        <w:t>利用自媒体公众号等网络媒体</w:t>
      </w:r>
      <w:r>
        <w:rPr>
          <w:rFonts w:ascii="仿宋_GB2312" w:eastAsia="仿宋_GB2312" w:hint="eastAsia"/>
          <w:sz w:val="32"/>
          <w:szCs w:val="32"/>
        </w:rPr>
        <w:t>炒作渲染房地产、散布</w:t>
      </w:r>
      <w:r>
        <w:rPr>
          <w:rFonts w:ascii="仿宋_GB2312" w:eastAsia="仿宋_GB2312" w:hAnsi="宋体" w:cs="Times New Roman" w:hint="eastAsia"/>
          <w:kern w:val="0"/>
          <w:sz w:val="32"/>
          <w:szCs w:val="32"/>
        </w:rPr>
        <w:t>房地产谣言故意扰乱公共秩序；在房地产交易活动中诈骗公私财物；阻碍国家机关工作人员依法执行职务；其他违法犯罪行为。</w:t>
      </w:r>
    </w:p>
    <w:p w:rsidR="004E67BD" w:rsidRDefault="004F5AF5">
      <w:pPr>
        <w:spacing w:line="360" w:lineRule="auto"/>
        <w:ind w:firstLineChars="200" w:firstLine="640"/>
        <w:rPr>
          <w:rFonts w:ascii="仿宋_GB2312" w:eastAsia="仿宋_GB2312" w:hAnsi="仿宋_GB2312" w:cs="仿宋_GB2312"/>
          <w:b/>
          <w:bCs/>
          <w:sz w:val="32"/>
          <w:szCs w:val="32"/>
        </w:rPr>
      </w:pPr>
      <w:r>
        <w:rPr>
          <w:rFonts w:ascii="楷体_GB2312" w:eastAsia="楷体_GB2312" w:hAnsi="楷体_GB2312" w:cs="楷体_GB2312" w:hint="eastAsia"/>
          <w:color w:val="000000"/>
          <w:kern w:val="0"/>
          <w:sz w:val="32"/>
          <w:szCs w:val="32"/>
        </w:rPr>
        <w:t>5.国税、地税部门查处下列行为</w:t>
      </w:r>
      <w:r>
        <w:rPr>
          <w:rFonts w:ascii="仿宋_GB2312" w:eastAsia="仿宋_GB2312" w:hAnsi="宋体" w:cs="Times New Roman" w:hint="eastAsia"/>
          <w:color w:val="000000"/>
          <w:kern w:val="0"/>
          <w:sz w:val="32"/>
          <w:szCs w:val="32"/>
        </w:rPr>
        <w:t>：房地产开发企业、房地产经纪机构或人员在房地产销售经营活动中的偷税、逃税行为；其他违反税法的行为。</w:t>
      </w:r>
    </w:p>
    <w:p w:rsidR="004E67BD" w:rsidRDefault="004F5AF5">
      <w:pPr>
        <w:spacing w:line="360" w:lineRule="auto"/>
        <w:ind w:firstLineChars="200" w:firstLine="640"/>
        <w:rPr>
          <w:rFonts w:ascii="仿宋_GB2312" w:eastAsia="仿宋_GB2312" w:hAnsi="仿宋_GB2312" w:cs="仿宋_GB2312"/>
          <w:b/>
          <w:bCs/>
          <w:sz w:val="32"/>
          <w:szCs w:val="32"/>
        </w:rPr>
      </w:pPr>
      <w:r>
        <w:rPr>
          <w:rFonts w:ascii="楷体_GB2312" w:eastAsia="楷体_GB2312" w:hAnsi="楷体_GB2312" w:cs="楷体_GB2312" w:hint="eastAsia"/>
          <w:color w:val="000000"/>
          <w:kern w:val="0"/>
          <w:sz w:val="32"/>
          <w:szCs w:val="32"/>
        </w:rPr>
        <w:t>6.银监部门查处下列行为</w:t>
      </w:r>
      <w:r>
        <w:rPr>
          <w:rFonts w:ascii="仿宋_GB2312" w:eastAsia="仿宋_GB2312" w:hAnsi="宋体" w:cs="Times New Roman" w:hint="eastAsia"/>
          <w:color w:val="000000"/>
          <w:kern w:val="0"/>
          <w:sz w:val="32"/>
          <w:szCs w:val="32"/>
        </w:rPr>
        <w:t>：监管银行未按要求受理、审核房地产开发企业使用商品房预售资金的申请资料，超前超额支付商品房预售资金的行为。</w:t>
      </w:r>
    </w:p>
    <w:p w:rsidR="004E67BD" w:rsidRDefault="004F5AF5">
      <w:pPr>
        <w:spacing w:line="360" w:lineRule="auto"/>
        <w:ind w:firstLineChars="200" w:firstLine="640"/>
        <w:rPr>
          <w:rFonts w:ascii="仿宋_GB2312" w:eastAsia="仿宋_GB2312" w:hAnsi="仿宋_GB2312" w:cs="仿宋_GB2312"/>
          <w:b/>
          <w:bCs/>
          <w:sz w:val="32"/>
          <w:szCs w:val="32"/>
        </w:rPr>
      </w:pPr>
      <w:r>
        <w:rPr>
          <w:rFonts w:ascii="黑体" w:eastAsia="黑体" w:hAnsi="黑体" w:cs="黑体" w:hint="eastAsia"/>
          <w:color w:val="111111"/>
          <w:kern w:val="0"/>
          <w:sz w:val="32"/>
          <w:szCs w:val="32"/>
        </w:rPr>
        <w:t>三、</w:t>
      </w:r>
      <w:r>
        <w:rPr>
          <w:rFonts w:ascii="黑体" w:eastAsia="黑体" w:hAnsi="黑体" w:cs="黑体" w:hint="eastAsia"/>
          <w:color w:val="000000"/>
          <w:kern w:val="0"/>
          <w:sz w:val="32"/>
          <w:szCs w:val="32"/>
        </w:rPr>
        <w:t>加强部门联动监管</w:t>
      </w:r>
    </w:p>
    <w:p w:rsidR="004E67BD" w:rsidRDefault="004F5AF5">
      <w:pPr>
        <w:spacing w:line="360" w:lineRule="auto"/>
        <w:ind w:firstLineChars="200" w:firstLine="640"/>
        <w:rPr>
          <w:rFonts w:ascii="仿宋_GB2312" w:eastAsia="仿宋_GB2312" w:hAnsi="仿宋_GB2312" w:cs="仿宋_GB2312"/>
          <w:b/>
          <w:bCs/>
          <w:sz w:val="32"/>
          <w:szCs w:val="32"/>
        </w:rPr>
      </w:pPr>
      <w:r>
        <w:rPr>
          <w:rFonts w:ascii="楷体_GB2312" w:eastAsia="楷体_GB2312" w:hAnsi="楷体_GB2312" w:cs="楷体_GB2312" w:hint="eastAsia"/>
          <w:color w:val="000000"/>
          <w:kern w:val="0"/>
          <w:sz w:val="32"/>
          <w:szCs w:val="32"/>
        </w:rPr>
        <w:t>1.各部门要加大联合执法整治力度，对违法违规行为责任主体依法严肃查处。</w:t>
      </w:r>
      <w:r>
        <w:rPr>
          <w:rFonts w:ascii="仿宋_GB2312" w:eastAsia="仿宋_GB2312" w:hAnsi="宋体" w:cs="Times New Roman" w:hint="eastAsia"/>
          <w:color w:val="000000"/>
          <w:kern w:val="0"/>
          <w:sz w:val="32"/>
          <w:szCs w:val="32"/>
        </w:rPr>
        <w:t>各职能部门要通力合作，齐抓共管、互通信息、形成合力，确保调控政策落到实处。要研究建立巡查发现、调查核实、依法查处等各环节紧密衔接的长效机制，确保执法整治成效。</w:t>
      </w:r>
    </w:p>
    <w:p w:rsidR="004E67BD" w:rsidRDefault="004F5AF5">
      <w:pPr>
        <w:spacing w:line="360" w:lineRule="auto"/>
        <w:ind w:firstLineChars="200" w:firstLine="640"/>
        <w:rPr>
          <w:rFonts w:ascii="仿宋_GB2312" w:eastAsia="仿宋_GB2312" w:hAnsi="宋体" w:cs="Times New Roman"/>
          <w:color w:val="000000"/>
          <w:kern w:val="0"/>
          <w:sz w:val="32"/>
          <w:szCs w:val="32"/>
        </w:rPr>
      </w:pPr>
      <w:r>
        <w:rPr>
          <w:rFonts w:ascii="楷体_GB2312" w:eastAsia="楷体_GB2312" w:hAnsi="楷体_GB2312" w:cs="楷体_GB2312" w:hint="eastAsia"/>
          <w:color w:val="000000"/>
          <w:kern w:val="0"/>
          <w:sz w:val="32"/>
          <w:szCs w:val="32"/>
        </w:rPr>
        <w:t>2.全面建立和实施“失信惩戒”的联合管理机制。</w:t>
      </w:r>
      <w:r>
        <w:rPr>
          <w:rFonts w:ascii="仿宋_GB2312" w:eastAsia="仿宋_GB2312" w:hAnsi="宋体" w:cs="Times New Roman" w:hint="eastAsia"/>
          <w:color w:val="000000"/>
          <w:kern w:val="0"/>
          <w:sz w:val="32"/>
          <w:szCs w:val="32"/>
        </w:rPr>
        <w:t>建立健全房地产开发企业、经纪机构信用制度，科学评定房地产企业信用等级，推行信用评价成果与行政审批挂钩机制，对</w:t>
      </w:r>
      <w:r>
        <w:rPr>
          <w:rFonts w:ascii="仿宋_GB2312" w:eastAsia="仿宋_GB2312" w:hAnsi="宋体" w:cs="Times New Roman" w:hint="eastAsia"/>
          <w:color w:val="000000"/>
          <w:kern w:val="0"/>
          <w:sz w:val="32"/>
          <w:szCs w:val="32"/>
        </w:rPr>
        <w:lastRenderedPageBreak/>
        <w:t>严重违法违规、严重失信行为的企业和人员实行“黑名单”制度。被列入“黑名单”的企业和人员依据相关规定禁止参与我市土地一级市场竞拍和申报土地划拨、转让、抵押等审批手续，禁止成立或变相成立房地产公司、经纪机构，降低或取消房地产开发企业资质，禁止有关人员从事房地产开发经营及其相关业务，并将涉及违法违规的房地产开发企业、经纪机构行为纳入征信系统。</w:t>
      </w:r>
    </w:p>
    <w:p w:rsidR="004E67BD" w:rsidRDefault="004E67BD">
      <w:pPr>
        <w:spacing w:line="360" w:lineRule="auto"/>
        <w:ind w:right="160"/>
        <w:rPr>
          <w:rFonts w:ascii="仿宋_GB2312" w:eastAsia="仿宋_GB2312" w:hAnsi="仿宋"/>
          <w:color w:val="000000"/>
          <w:spacing w:val="-24"/>
          <w:sz w:val="32"/>
          <w:szCs w:val="32"/>
        </w:rPr>
      </w:pPr>
    </w:p>
    <w:p w:rsidR="004E67BD" w:rsidRDefault="004E67BD">
      <w:pPr>
        <w:spacing w:line="360" w:lineRule="auto"/>
        <w:ind w:right="160"/>
        <w:rPr>
          <w:rFonts w:ascii="仿宋_GB2312" w:eastAsia="仿宋_GB2312" w:hAnsi="仿宋"/>
          <w:color w:val="000000"/>
          <w:spacing w:val="-24"/>
          <w:sz w:val="32"/>
          <w:szCs w:val="32"/>
        </w:rPr>
      </w:pPr>
    </w:p>
    <w:p w:rsidR="004E67BD" w:rsidRDefault="004F5AF5">
      <w:pPr>
        <w:spacing w:line="480" w:lineRule="exact"/>
        <w:ind w:left="4500" w:right="159" w:hangingChars="1500" w:hanging="4500"/>
        <w:jc w:val="distribute"/>
        <w:rPr>
          <w:rFonts w:ascii="仿宋_GB2312" w:eastAsia="仿宋_GB2312" w:hAnsi="仿宋"/>
          <w:color w:val="000000"/>
          <w:spacing w:val="-10"/>
          <w:sz w:val="32"/>
          <w:szCs w:val="32"/>
        </w:rPr>
      </w:pPr>
      <w:r>
        <w:rPr>
          <w:rFonts w:ascii="仿宋_GB2312" w:eastAsia="仿宋_GB2312" w:hAnsi="仿宋" w:hint="eastAsia"/>
          <w:color w:val="000000"/>
          <w:spacing w:val="-10"/>
          <w:sz w:val="32"/>
          <w:szCs w:val="32"/>
        </w:rPr>
        <w:t>嘉兴市城乡规划建设管理委员会    嘉兴市发展和改革委员会</w:t>
      </w:r>
    </w:p>
    <w:p w:rsidR="004E67BD" w:rsidRDefault="004E67BD">
      <w:pPr>
        <w:spacing w:line="480" w:lineRule="exact"/>
        <w:ind w:left="4200" w:right="159" w:hangingChars="1500" w:hanging="4200"/>
        <w:jc w:val="distribute"/>
        <w:rPr>
          <w:rFonts w:ascii="仿宋_GB2312" w:eastAsia="仿宋_GB2312" w:hAnsi="仿宋"/>
          <w:color w:val="000000"/>
          <w:sz w:val="28"/>
          <w:szCs w:val="28"/>
        </w:rPr>
      </w:pPr>
    </w:p>
    <w:p w:rsidR="004E67BD" w:rsidRDefault="004E67BD">
      <w:pPr>
        <w:spacing w:line="480" w:lineRule="exact"/>
        <w:ind w:left="4200" w:right="159" w:hangingChars="1500" w:hanging="4200"/>
        <w:jc w:val="distribute"/>
        <w:rPr>
          <w:rFonts w:ascii="仿宋_GB2312" w:eastAsia="仿宋_GB2312" w:hAnsi="仿宋"/>
          <w:color w:val="000000"/>
          <w:sz w:val="28"/>
          <w:szCs w:val="28"/>
        </w:rPr>
      </w:pPr>
    </w:p>
    <w:p w:rsidR="004E67BD" w:rsidRDefault="004F5AF5">
      <w:pPr>
        <w:spacing w:line="480" w:lineRule="exact"/>
        <w:ind w:left="4800" w:right="159" w:hangingChars="1500" w:hanging="4800"/>
        <w:jc w:val="distribute"/>
        <w:rPr>
          <w:rFonts w:ascii="仿宋_GB2312" w:eastAsia="仿宋_GB2312" w:hAnsi="仿宋"/>
          <w:color w:val="000000"/>
          <w:sz w:val="32"/>
          <w:szCs w:val="32"/>
        </w:rPr>
      </w:pPr>
      <w:r>
        <w:rPr>
          <w:rFonts w:ascii="仿宋_GB2312" w:eastAsia="仿宋_GB2312" w:hAnsi="仿宋" w:hint="eastAsia"/>
          <w:color w:val="000000"/>
          <w:sz w:val="32"/>
          <w:szCs w:val="32"/>
        </w:rPr>
        <w:t xml:space="preserve">嘉兴市物价局                 嘉兴市市场监督管理局                  </w:t>
      </w:r>
    </w:p>
    <w:p w:rsidR="004E67BD" w:rsidRDefault="004E67BD">
      <w:pPr>
        <w:spacing w:line="480" w:lineRule="exact"/>
        <w:ind w:left="4800" w:right="159" w:hangingChars="1500" w:hanging="4800"/>
        <w:jc w:val="distribute"/>
        <w:rPr>
          <w:rFonts w:ascii="仿宋_GB2312" w:eastAsia="仿宋_GB2312" w:hAnsi="仿宋"/>
          <w:color w:val="000000"/>
          <w:sz w:val="32"/>
          <w:szCs w:val="32"/>
        </w:rPr>
      </w:pPr>
    </w:p>
    <w:p w:rsidR="004E67BD" w:rsidRDefault="004F5AF5">
      <w:pPr>
        <w:spacing w:line="480" w:lineRule="exact"/>
        <w:ind w:left="4800" w:right="159" w:hangingChars="1500" w:hanging="4800"/>
        <w:jc w:val="distribute"/>
        <w:rPr>
          <w:rFonts w:ascii="仿宋_GB2312" w:eastAsia="仿宋_GB2312" w:hAnsi="仿宋"/>
          <w:color w:val="000000"/>
          <w:sz w:val="32"/>
          <w:szCs w:val="32"/>
        </w:rPr>
      </w:pPr>
      <w:r>
        <w:rPr>
          <w:rFonts w:ascii="仿宋_GB2312" w:eastAsia="仿宋_GB2312" w:hAnsi="仿宋" w:hint="eastAsia"/>
          <w:color w:val="000000"/>
          <w:sz w:val="32"/>
          <w:szCs w:val="32"/>
        </w:rPr>
        <w:t xml:space="preserve"> </w:t>
      </w:r>
    </w:p>
    <w:p w:rsidR="004E67BD" w:rsidRDefault="004F5AF5">
      <w:pPr>
        <w:spacing w:line="480" w:lineRule="exact"/>
        <w:ind w:left="4800" w:right="159" w:hangingChars="1500" w:hanging="4800"/>
        <w:jc w:val="distribute"/>
        <w:rPr>
          <w:rFonts w:ascii="仿宋_GB2312" w:eastAsia="仿宋_GB2312" w:hAnsi="仿宋"/>
          <w:color w:val="000000"/>
          <w:sz w:val="32"/>
          <w:szCs w:val="32"/>
        </w:rPr>
      </w:pPr>
      <w:r>
        <w:rPr>
          <w:rFonts w:ascii="仿宋_GB2312" w:eastAsia="仿宋_GB2312" w:hAnsi="仿宋" w:hint="eastAsia"/>
          <w:color w:val="000000"/>
          <w:sz w:val="32"/>
          <w:szCs w:val="32"/>
        </w:rPr>
        <w:t xml:space="preserve">嘉兴市公安局                      嘉兴市国家税务局 </w:t>
      </w:r>
    </w:p>
    <w:p w:rsidR="004E67BD" w:rsidRDefault="004E67BD">
      <w:pPr>
        <w:spacing w:line="480" w:lineRule="exact"/>
        <w:ind w:left="4800" w:right="159" w:hangingChars="1500" w:hanging="4800"/>
        <w:jc w:val="distribute"/>
        <w:rPr>
          <w:rFonts w:ascii="仿宋_GB2312" w:eastAsia="仿宋_GB2312" w:hAnsi="仿宋"/>
          <w:color w:val="000000"/>
          <w:sz w:val="32"/>
          <w:szCs w:val="32"/>
        </w:rPr>
      </w:pPr>
    </w:p>
    <w:p w:rsidR="004E67BD" w:rsidRDefault="004E67BD">
      <w:pPr>
        <w:spacing w:line="480" w:lineRule="exact"/>
        <w:ind w:left="4800" w:right="159" w:hangingChars="1500" w:hanging="4800"/>
        <w:jc w:val="distribute"/>
        <w:rPr>
          <w:rFonts w:ascii="仿宋_GB2312" w:eastAsia="仿宋_GB2312" w:hAnsi="仿宋"/>
          <w:color w:val="000000"/>
          <w:sz w:val="32"/>
          <w:szCs w:val="32"/>
        </w:rPr>
      </w:pPr>
    </w:p>
    <w:p w:rsidR="004E67BD" w:rsidRDefault="004F5AF5">
      <w:pPr>
        <w:spacing w:line="480" w:lineRule="exact"/>
        <w:ind w:right="159"/>
        <w:jc w:val="distribute"/>
        <w:rPr>
          <w:rFonts w:ascii="仿宋_GB2312" w:eastAsia="仿宋_GB2312" w:hAnsi="仿宋"/>
          <w:color w:val="000000"/>
          <w:spacing w:val="-34"/>
          <w:sz w:val="32"/>
          <w:szCs w:val="32"/>
        </w:rPr>
      </w:pPr>
      <w:r>
        <w:rPr>
          <w:rFonts w:ascii="仿宋_GB2312" w:eastAsia="仿宋_GB2312" w:hAnsi="仿宋" w:hint="eastAsia"/>
          <w:color w:val="000000"/>
          <w:sz w:val="32"/>
          <w:szCs w:val="32"/>
        </w:rPr>
        <w:t xml:space="preserve">嘉兴市地方税务局           </w:t>
      </w:r>
      <w:r>
        <w:rPr>
          <w:rFonts w:ascii="仿宋_GB2312" w:eastAsia="仿宋_GB2312" w:hAnsi="仿宋" w:hint="eastAsia"/>
          <w:color w:val="000000"/>
          <w:spacing w:val="-34"/>
          <w:sz w:val="32"/>
          <w:szCs w:val="32"/>
        </w:rPr>
        <w:t xml:space="preserve">中国人民银行嘉兴市中心支行   </w:t>
      </w:r>
    </w:p>
    <w:p w:rsidR="004E67BD" w:rsidRDefault="004E67BD">
      <w:pPr>
        <w:spacing w:line="480" w:lineRule="exact"/>
        <w:ind w:right="159"/>
        <w:jc w:val="distribute"/>
        <w:rPr>
          <w:rFonts w:ascii="仿宋_GB2312" w:eastAsia="仿宋_GB2312" w:hAnsi="仿宋"/>
          <w:color w:val="000000"/>
          <w:spacing w:val="-34"/>
          <w:sz w:val="32"/>
          <w:szCs w:val="32"/>
        </w:rPr>
      </w:pPr>
    </w:p>
    <w:p w:rsidR="004E67BD" w:rsidRDefault="004E67BD">
      <w:pPr>
        <w:spacing w:line="480" w:lineRule="exact"/>
        <w:ind w:right="159"/>
        <w:jc w:val="distribute"/>
        <w:rPr>
          <w:rFonts w:ascii="仿宋_GB2312" w:eastAsia="仿宋_GB2312" w:hAnsi="仿宋"/>
          <w:color w:val="000000"/>
          <w:spacing w:val="-34"/>
          <w:sz w:val="32"/>
          <w:szCs w:val="32"/>
        </w:rPr>
      </w:pPr>
    </w:p>
    <w:p w:rsidR="004E67BD" w:rsidRDefault="004F5AF5">
      <w:pPr>
        <w:spacing w:line="480" w:lineRule="exact"/>
        <w:ind w:right="159"/>
        <w:jc w:val="distribute"/>
        <w:rPr>
          <w:rFonts w:ascii="仿宋_GB2312" w:eastAsia="仿宋_GB2312" w:hAnsi="仿宋"/>
          <w:color w:val="000000"/>
          <w:spacing w:val="-34"/>
          <w:sz w:val="32"/>
          <w:szCs w:val="32"/>
        </w:rPr>
      </w:pPr>
      <w:r>
        <w:rPr>
          <w:rFonts w:ascii="仿宋_GB2312" w:eastAsia="仿宋_GB2312" w:hAnsi="仿宋" w:hint="eastAsia"/>
          <w:color w:val="000000"/>
          <w:spacing w:val="-34"/>
          <w:sz w:val="32"/>
          <w:szCs w:val="32"/>
        </w:rPr>
        <w:t xml:space="preserve">                                     中国银行业监督管理委员会嘉兴监管分局</w:t>
      </w:r>
    </w:p>
    <w:tbl>
      <w:tblPr>
        <w:tblpPr w:leftFromText="180" w:rightFromText="180" w:vertAnchor="text" w:horzAnchor="page" w:tblpX="1489" w:tblpY="1330"/>
        <w:tblW w:w="8922" w:type="dxa"/>
        <w:tblBorders>
          <w:top w:val="single" w:sz="12" w:space="0" w:color="auto"/>
          <w:bottom w:val="single" w:sz="12" w:space="0" w:color="auto"/>
        </w:tblBorders>
        <w:tblLayout w:type="fixed"/>
        <w:tblLook w:val="04A0" w:firstRow="1" w:lastRow="0" w:firstColumn="1" w:lastColumn="0" w:noHBand="0" w:noVBand="1"/>
      </w:tblPr>
      <w:tblGrid>
        <w:gridCol w:w="5142"/>
        <w:gridCol w:w="3780"/>
      </w:tblGrid>
      <w:tr w:rsidR="004E67BD">
        <w:trPr>
          <w:trHeight w:val="446"/>
        </w:trPr>
        <w:tc>
          <w:tcPr>
            <w:tcW w:w="5142" w:type="dxa"/>
            <w:tcMar>
              <w:top w:w="0" w:type="dxa"/>
              <w:left w:w="102" w:type="dxa"/>
              <w:bottom w:w="0" w:type="dxa"/>
              <w:right w:w="102" w:type="dxa"/>
            </w:tcMar>
            <w:vAlign w:val="center"/>
          </w:tcPr>
          <w:p w:rsidR="004E67BD" w:rsidRDefault="004F5AF5">
            <w:pPr>
              <w:spacing w:line="360" w:lineRule="auto"/>
              <w:ind w:firstLineChars="50" w:firstLine="140"/>
              <w:jc w:val="distribute"/>
              <w:rPr>
                <w:rFonts w:ascii="仿宋_GB2312" w:eastAsia="仿宋_GB2312" w:hAnsi="宋体"/>
                <w:sz w:val="28"/>
                <w:szCs w:val="28"/>
              </w:rPr>
            </w:pPr>
            <w:r>
              <w:rPr>
                <w:rFonts w:ascii="仿宋_GB2312" w:eastAsia="仿宋_GB2312" w:hAnsi="宋体" w:hint="eastAsia"/>
                <w:sz w:val="28"/>
                <w:szCs w:val="28"/>
              </w:rPr>
              <w:t>嘉兴市城乡规划建设管理委员会办公室</w:t>
            </w:r>
          </w:p>
        </w:tc>
        <w:tc>
          <w:tcPr>
            <w:tcW w:w="3780" w:type="dxa"/>
            <w:tcMar>
              <w:top w:w="0" w:type="dxa"/>
              <w:left w:w="102" w:type="dxa"/>
              <w:bottom w:w="0" w:type="dxa"/>
              <w:right w:w="102" w:type="dxa"/>
            </w:tcMar>
            <w:vAlign w:val="center"/>
          </w:tcPr>
          <w:p w:rsidR="004E67BD" w:rsidRDefault="004F5AF5">
            <w:pPr>
              <w:widowControl/>
              <w:spacing w:line="360" w:lineRule="auto"/>
              <w:ind w:firstLineChars="200" w:firstLine="584"/>
              <w:jc w:val="distribute"/>
              <w:rPr>
                <w:rFonts w:ascii="仿宋_GB2312" w:eastAsia="仿宋_GB2312" w:hAnsi="宋体"/>
                <w:spacing w:val="6"/>
                <w:sz w:val="28"/>
                <w:szCs w:val="28"/>
              </w:rPr>
            </w:pPr>
            <w:r>
              <w:rPr>
                <w:rFonts w:ascii="仿宋_GB2312" w:eastAsia="仿宋_GB2312" w:hAnsi="宋体" w:hint="eastAsia"/>
                <w:spacing w:val="6"/>
                <w:sz w:val="28"/>
                <w:szCs w:val="28"/>
              </w:rPr>
              <w:t>2018年6月13日印发</w:t>
            </w:r>
          </w:p>
        </w:tc>
      </w:tr>
    </w:tbl>
    <w:p w:rsidR="004E67BD" w:rsidRDefault="004F5AF5">
      <w:pPr>
        <w:spacing w:line="360" w:lineRule="auto"/>
        <w:ind w:right="-88" w:firstLineChars="1550" w:firstLine="4960"/>
        <w:rPr>
          <w:rFonts w:ascii="仿宋_GB2312" w:eastAsia="仿宋_GB2312" w:hAnsi="宋体" w:cs="Times New Roman"/>
          <w:color w:val="000000"/>
          <w:kern w:val="0"/>
          <w:sz w:val="32"/>
          <w:szCs w:val="32"/>
        </w:rPr>
      </w:pPr>
      <w:r>
        <w:rPr>
          <w:rFonts w:ascii="仿宋_GB2312" w:eastAsia="仿宋_GB2312" w:hAnsi="仿宋" w:hint="eastAsia"/>
          <w:color w:val="000000"/>
          <w:sz w:val="32"/>
          <w:szCs w:val="32"/>
        </w:rPr>
        <w:t>2018年6月13日</w:t>
      </w:r>
    </w:p>
    <w:sectPr w:rsidR="004E67B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175" w:rsidRDefault="003B5175">
      <w:r>
        <w:separator/>
      </w:r>
    </w:p>
  </w:endnote>
  <w:endnote w:type="continuationSeparator" w:id="0">
    <w:p w:rsidR="003B5175" w:rsidRDefault="003B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文星简小标宋">
    <w:altName w:val="宋体"/>
    <w:charset w:val="86"/>
    <w:family w:val="modern"/>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7BD" w:rsidRDefault="004F5AF5">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4E67BD" w:rsidRDefault="004F5AF5">
                          <w:pPr>
                            <w:pStyle w:val="a3"/>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sidR="00F56187">
                            <w:rPr>
                              <w:rFonts w:ascii="仿宋_GB2312" w:eastAsia="仿宋_GB2312" w:hAnsi="仿宋_GB2312" w:cs="仿宋_GB2312"/>
                              <w:noProof/>
                              <w:sz w:val="32"/>
                              <w:szCs w:val="32"/>
                            </w:rPr>
                            <w:t>1</w:t>
                          </w:r>
                          <w:r>
                            <w:rPr>
                              <w:rFonts w:ascii="仿宋_GB2312" w:eastAsia="仿宋_GB2312" w:hAnsi="仿宋_GB2312" w:cs="仿宋_GB2312" w:hint="eastAsia"/>
                              <w:sz w:val="32"/>
                              <w:szCs w:val="3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7"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" filled="f" stroked="f">
              <v:textbox style="mso-fit-shape-to-text:t" inset="0,0,0,0">
                <w:txbxContent>
                  <w:p w:rsidR="004E67BD" w:rsidRDefault="004F5AF5">
                    <w:pPr>
                      <w:pStyle w:val="a3"/>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sidR="00F56187">
                      <w:rPr>
                        <w:rFonts w:ascii="仿宋_GB2312" w:eastAsia="仿宋_GB2312" w:hAnsi="仿宋_GB2312" w:cs="仿宋_GB2312"/>
                        <w:noProof/>
                        <w:sz w:val="32"/>
                        <w:szCs w:val="32"/>
                      </w:rPr>
                      <w:t>1</w:t>
                    </w:r>
                    <w:r>
                      <w:rPr>
                        <w:rFonts w:ascii="仿宋_GB2312" w:eastAsia="仿宋_GB2312" w:hAnsi="仿宋_GB2312" w:cs="仿宋_GB2312" w:hint="eastAsia"/>
                        <w:sz w:val="32"/>
                        <w:szCs w:val="32"/>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175" w:rsidRDefault="003B5175">
      <w:r>
        <w:separator/>
      </w:r>
    </w:p>
  </w:footnote>
  <w:footnote w:type="continuationSeparator" w:id="0">
    <w:p w:rsidR="003B5175" w:rsidRDefault="003B51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89E1FA"/>
    <w:multiLevelType w:val="singleLevel"/>
    <w:tmpl w:val="8889E1F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6D"/>
    <w:rsid w:val="00014575"/>
    <w:rsid w:val="0007291F"/>
    <w:rsid w:val="0007609F"/>
    <w:rsid w:val="001856EE"/>
    <w:rsid w:val="00187DD6"/>
    <w:rsid w:val="00215FF4"/>
    <w:rsid w:val="00311325"/>
    <w:rsid w:val="00330CBF"/>
    <w:rsid w:val="003B5175"/>
    <w:rsid w:val="003F376D"/>
    <w:rsid w:val="00441A8B"/>
    <w:rsid w:val="00446127"/>
    <w:rsid w:val="004479FB"/>
    <w:rsid w:val="0046625F"/>
    <w:rsid w:val="00466EBB"/>
    <w:rsid w:val="004C2CE9"/>
    <w:rsid w:val="004E67BD"/>
    <w:rsid w:val="004F5AF5"/>
    <w:rsid w:val="005422E2"/>
    <w:rsid w:val="005D5FFF"/>
    <w:rsid w:val="005E4EB5"/>
    <w:rsid w:val="005F1685"/>
    <w:rsid w:val="00642E66"/>
    <w:rsid w:val="006735DD"/>
    <w:rsid w:val="00687EE2"/>
    <w:rsid w:val="006B3A9B"/>
    <w:rsid w:val="006B7EC7"/>
    <w:rsid w:val="006D4D97"/>
    <w:rsid w:val="006E3F7B"/>
    <w:rsid w:val="00726AAA"/>
    <w:rsid w:val="008238A6"/>
    <w:rsid w:val="00856962"/>
    <w:rsid w:val="0090336F"/>
    <w:rsid w:val="00941827"/>
    <w:rsid w:val="00985721"/>
    <w:rsid w:val="00A60427"/>
    <w:rsid w:val="00A66ED1"/>
    <w:rsid w:val="00A76DDE"/>
    <w:rsid w:val="00AA5E3D"/>
    <w:rsid w:val="00B34815"/>
    <w:rsid w:val="00B6184C"/>
    <w:rsid w:val="00BB0D71"/>
    <w:rsid w:val="00C63531"/>
    <w:rsid w:val="00C90BF9"/>
    <w:rsid w:val="00D01843"/>
    <w:rsid w:val="00D530FA"/>
    <w:rsid w:val="00D95207"/>
    <w:rsid w:val="00DD526D"/>
    <w:rsid w:val="00E82642"/>
    <w:rsid w:val="00ED7013"/>
    <w:rsid w:val="00F12670"/>
    <w:rsid w:val="00F56187"/>
    <w:rsid w:val="00FD22B6"/>
    <w:rsid w:val="0385396E"/>
    <w:rsid w:val="04A02D74"/>
    <w:rsid w:val="05456D6B"/>
    <w:rsid w:val="063F4226"/>
    <w:rsid w:val="07262128"/>
    <w:rsid w:val="08BB13D5"/>
    <w:rsid w:val="0CFA5E7D"/>
    <w:rsid w:val="0EBC546D"/>
    <w:rsid w:val="0EC122F7"/>
    <w:rsid w:val="10AA75B4"/>
    <w:rsid w:val="12164D4E"/>
    <w:rsid w:val="143F1A0B"/>
    <w:rsid w:val="15246EA6"/>
    <w:rsid w:val="189C69A7"/>
    <w:rsid w:val="19E56039"/>
    <w:rsid w:val="1CDF466A"/>
    <w:rsid w:val="1D976FF7"/>
    <w:rsid w:val="1EEB7551"/>
    <w:rsid w:val="1F8144CF"/>
    <w:rsid w:val="1FBF63F9"/>
    <w:rsid w:val="205D52B1"/>
    <w:rsid w:val="21941301"/>
    <w:rsid w:val="240806AA"/>
    <w:rsid w:val="25013447"/>
    <w:rsid w:val="25702175"/>
    <w:rsid w:val="26796B14"/>
    <w:rsid w:val="280B009B"/>
    <w:rsid w:val="29910455"/>
    <w:rsid w:val="2A137021"/>
    <w:rsid w:val="2AF071E0"/>
    <w:rsid w:val="2B0F5463"/>
    <w:rsid w:val="2CE87D7E"/>
    <w:rsid w:val="2D0C2EAA"/>
    <w:rsid w:val="2FF32257"/>
    <w:rsid w:val="31D17441"/>
    <w:rsid w:val="325D51F0"/>
    <w:rsid w:val="328D32CE"/>
    <w:rsid w:val="356E422B"/>
    <w:rsid w:val="35DA1DE1"/>
    <w:rsid w:val="36870973"/>
    <w:rsid w:val="36A3651A"/>
    <w:rsid w:val="37A8751D"/>
    <w:rsid w:val="3A33061D"/>
    <w:rsid w:val="3CD433B8"/>
    <w:rsid w:val="3D843B5C"/>
    <w:rsid w:val="3FFA3D1C"/>
    <w:rsid w:val="47EA5BD5"/>
    <w:rsid w:val="4A985E34"/>
    <w:rsid w:val="4AB218BE"/>
    <w:rsid w:val="4E4A439C"/>
    <w:rsid w:val="4E5E59C9"/>
    <w:rsid w:val="4F097DDD"/>
    <w:rsid w:val="531443F9"/>
    <w:rsid w:val="54BD25B0"/>
    <w:rsid w:val="54CD3ECE"/>
    <w:rsid w:val="57E63B54"/>
    <w:rsid w:val="5B9766EE"/>
    <w:rsid w:val="5BB33509"/>
    <w:rsid w:val="5C597A2B"/>
    <w:rsid w:val="5D8B6564"/>
    <w:rsid w:val="5E35345A"/>
    <w:rsid w:val="5EAE59FD"/>
    <w:rsid w:val="5EC75D11"/>
    <w:rsid w:val="60472900"/>
    <w:rsid w:val="62795491"/>
    <w:rsid w:val="62DF0E42"/>
    <w:rsid w:val="68CC4C55"/>
    <w:rsid w:val="68EC3900"/>
    <w:rsid w:val="69B22779"/>
    <w:rsid w:val="69D85F91"/>
    <w:rsid w:val="69F32B38"/>
    <w:rsid w:val="6B48024D"/>
    <w:rsid w:val="6C5A10DB"/>
    <w:rsid w:val="6E6917B3"/>
    <w:rsid w:val="6F5F6B2B"/>
    <w:rsid w:val="70565049"/>
    <w:rsid w:val="734F171B"/>
    <w:rsid w:val="749A277B"/>
    <w:rsid w:val="768A52E6"/>
    <w:rsid w:val="76921BE9"/>
    <w:rsid w:val="78EA0623"/>
    <w:rsid w:val="7A8468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F0DC49C"/>
  <w15:docId w15:val="{8EE3CD59-6BAE-42DE-832B-7A89EB54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jc w:val="left"/>
    </w:pPr>
    <w:rPr>
      <w:rFonts w:ascii="宋体" w:eastAsia="宋体" w:hAnsi="宋体" w:cs="宋体"/>
      <w:kern w:val="0"/>
      <w:sz w:val="24"/>
      <w:szCs w:val="24"/>
    </w:rPr>
  </w:style>
  <w:style w:type="character" w:styleId="a6">
    <w:name w:val="Strong"/>
    <w:basedOn w:val="a0"/>
    <w:uiPriority w:val="22"/>
    <w:qFormat/>
    <w:rPr>
      <w:b/>
      <w:bCs/>
    </w:rPr>
  </w:style>
  <w:style w:type="paragraph" w:customStyle="1" w:styleId="1">
    <w:name w:val="无间隔1"/>
    <w:basedOn w:val="a"/>
    <w:qFormat/>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398</Words>
  <Characters>2272</Characters>
  <Application>Microsoft Office Word</Application>
  <DocSecurity>0</DocSecurity>
  <Lines>18</Lines>
  <Paragraphs>5</Paragraphs>
  <ScaleCrop>false</ScaleCrop>
  <Company>Microsoft Corporation</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dc:creator>
  <cp:lastModifiedBy>admin</cp:lastModifiedBy>
  <cp:revision>41</cp:revision>
  <cp:lastPrinted>2018-06-12T02:39:00Z</cp:lastPrinted>
  <dcterms:created xsi:type="dcterms:W3CDTF">2018-05-16T03:00:00Z</dcterms:created>
  <dcterms:modified xsi:type="dcterms:W3CDTF">2018-06-13T07:32:00Z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